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873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13010" cy="5151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010" cy="51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93"/>
        <w:ind w:left="1596" w:right="1596" w:firstLine="0"/>
        <w:jc w:val="center"/>
        <w:rPr>
          <w:b/>
          <w:sz w:val="50"/>
        </w:rPr>
      </w:pPr>
      <w:r>
        <w:rPr>
          <w:b/>
          <w:color w:val="EF4135"/>
          <w:sz w:val="50"/>
        </w:rPr>
        <w:t>Best Practices for Microchipping</w:t>
      </w:r>
    </w:p>
    <w:p>
      <w:pPr>
        <w:pStyle w:val="Heading1"/>
        <w:spacing w:before="387"/>
      </w:pPr>
      <w:r>
        <w:rPr>
          <w:color w:val="231F20"/>
        </w:rPr>
        <w:t>How to implant a microchip: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36" w:after="0"/>
        <w:ind w:left="480" w:right="0" w:hanging="360"/>
        <w:jc w:val="left"/>
        <w:rPr>
          <w:sz w:val="24"/>
        </w:rPr>
      </w:pPr>
      <w:r>
        <w:rPr>
          <w:color w:val="231F20"/>
          <w:sz w:val="24"/>
        </w:rPr>
        <w:t>Prepare universal scanner and </w:t>
      </w:r>
      <w:r>
        <w:rPr>
          <w:color w:val="231F20"/>
          <w:spacing w:val="-4"/>
          <w:sz w:val="24"/>
        </w:rPr>
        <w:t>new, </w:t>
      </w:r>
      <w:r>
        <w:rPr>
          <w:color w:val="231F20"/>
          <w:sz w:val="24"/>
        </w:rPr>
        <w:t>sterile blister pack containing the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microchip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4" w:after="0"/>
        <w:ind w:left="480" w:right="0" w:hanging="360"/>
        <w:jc w:val="left"/>
        <w:rPr>
          <w:sz w:val="24"/>
        </w:rPr>
      </w:pPr>
      <w:r>
        <w:rPr>
          <w:color w:val="231F20"/>
          <w:sz w:val="24"/>
        </w:rPr>
        <w:t>Scan the pet to verify whether or not a microchip has been previously</w:t>
      </w:r>
      <w:r>
        <w:rPr>
          <w:color w:val="231F20"/>
          <w:spacing w:val="-42"/>
          <w:sz w:val="24"/>
        </w:rPr>
        <w:t> </w:t>
      </w:r>
      <w:r>
        <w:rPr>
          <w:color w:val="231F20"/>
          <w:sz w:val="24"/>
        </w:rPr>
        <w:t>implanted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4" w:after="0"/>
        <w:ind w:left="480" w:right="0" w:hanging="360"/>
        <w:jc w:val="left"/>
        <w:rPr>
          <w:sz w:val="24"/>
        </w:rPr>
      </w:pPr>
      <w:r>
        <w:rPr>
          <w:color w:val="231F20"/>
          <w:sz w:val="24"/>
        </w:rPr>
        <w:t>If no microchip is already in place, find the appropriate implantation site and sterilize it as</w:t>
      </w:r>
      <w:r>
        <w:rPr>
          <w:color w:val="231F20"/>
          <w:spacing w:val="-33"/>
          <w:sz w:val="24"/>
        </w:rPr>
        <w:t> </w:t>
      </w:r>
      <w:r>
        <w:rPr>
          <w:color w:val="231F20"/>
          <w:sz w:val="24"/>
        </w:rPr>
        <w:t>you</w:t>
      </w:r>
    </w:p>
    <w:p>
      <w:pPr>
        <w:pStyle w:val="BodyText"/>
        <w:ind w:firstLine="0"/>
      </w:pPr>
      <w:r>
        <w:rPr>
          <w:color w:val="231F20"/>
        </w:rPr>
        <w:t>would prior to any injection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4" w:after="0"/>
        <w:ind w:left="480" w:right="0" w:hanging="360"/>
        <w:jc w:val="left"/>
        <w:rPr>
          <w:sz w:val="24"/>
        </w:rPr>
      </w:pPr>
      <w:r>
        <w:rPr>
          <w:color w:val="231F20"/>
          <w:sz w:val="24"/>
        </w:rPr>
        <w:t>Scan the blister pack to ensure the microchip functions before you open the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package</w:t>
      </w:r>
    </w:p>
    <w:p>
      <w:pPr>
        <w:spacing w:before="121"/>
        <w:ind w:left="895" w:right="0" w:firstLine="0"/>
        <w:jc w:val="left"/>
        <w:rPr>
          <w:sz w:val="20"/>
        </w:rPr>
      </w:pPr>
      <w:r>
        <w:rPr>
          <w:color w:val="231F20"/>
          <w:sz w:val="20"/>
        </w:rPr>
        <w:t>- </w:t>
      </w:r>
      <w:r>
        <w:rPr>
          <w:color w:val="231F20"/>
          <w:spacing w:val="-3"/>
          <w:sz w:val="20"/>
        </w:rPr>
        <w:t>Verify </w:t>
      </w:r>
      <w:r>
        <w:rPr>
          <w:color w:val="231F20"/>
          <w:sz w:val="20"/>
        </w:rPr>
        <w:t>the code given matches the barcode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labels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93" w:after="0"/>
        <w:ind w:left="480" w:right="0" w:hanging="360"/>
        <w:jc w:val="left"/>
        <w:rPr>
          <w:sz w:val="24"/>
        </w:rPr>
      </w:pPr>
      <w:r>
        <w:rPr>
          <w:color w:val="231F20"/>
          <w:sz w:val="24"/>
        </w:rPr>
        <w:t>Fold or tent the skin between your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fingers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12" w:lineRule="auto" w:before="84" w:after="0"/>
        <w:ind w:left="480" w:right="1352" w:hanging="360"/>
        <w:jc w:val="left"/>
        <w:rPr>
          <w:sz w:val="24"/>
        </w:rPr>
      </w:pPr>
      <w:r>
        <w:rPr>
          <w:color w:val="231F20"/>
          <w:sz w:val="24"/>
        </w:rPr>
        <w:t>Inject the microchip into this fold, allowing the needle to penetrate its full length into the implantation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site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12" w:lineRule="auto" w:before="2" w:after="0"/>
        <w:ind w:left="480" w:right="512" w:hanging="360"/>
        <w:jc w:val="left"/>
        <w:rPr>
          <w:sz w:val="24"/>
        </w:rPr>
      </w:pPr>
      <w:r>
        <w:rPr>
          <w:color w:val="231F20"/>
          <w:sz w:val="24"/>
        </w:rPr>
        <w:t>Continue to exert force on the syringe plunger until it is fully depressed, and you hear the “No- return click” to ensure the microchip has been released from the syringe into the subcutaneous tissue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4" w:after="0"/>
        <w:ind w:left="480" w:right="0" w:hanging="360"/>
        <w:jc w:val="left"/>
        <w:rPr>
          <w:sz w:val="24"/>
        </w:rPr>
      </w:pPr>
      <w:r>
        <w:rPr>
          <w:color w:val="231F20"/>
          <w:sz w:val="24"/>
        </w:rPr>
        <w:t>Continue to hold the folded skin until the syringe has been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removed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4" w:after="0"/>
        <w:ind w:left="480" w:right="0" w:hanging="360"/>
        <w:jc w:val="left"/>
        <w:rPr>
          <w:sz w:val="24"/>
        </w:rPr>
      </w:pPr>
      <w:r>
        <w:rPr>
          <w:color w:val="231F20"/>
          <w:sz w:val="24"/>
        </w:rPr>
        <w:t>Dress the wound as needed to stop any minor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bleeding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4" w:after="0"/>
        <w:ind w:left="480" w:right="0" w:hanging="360"/>
        <w:jc w:val="left"/>
        <w:rPr>
          <w:sz w:val="24"/>
        </w:rPr>
      </w:pPr>
      <w:r>
        <w:rPr>
          <w:color w:val="231F20"/>
          <w:sz w:val="24"/>
        </w:rPr>
        <w:t>Scan the microchip to ensure it’s still functioning and can be localized within the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pet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Heading1"/>
        <w:spacing w:before="246"/>
      </w:pPr>
      <w:r>
        <w:rPr>
          <w:color w:val="231F20"/>
        </w:rPr>
        <w:t>It’s implanted, now what?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28" w:after="0"/>
        <w:ind w:left="269" w:right="0" w:hanging="151"/>
        <w:jc w:val="left"/>
        <w:rPr>
          <w:sz w:val="24"/>
        </w:rPr>
      </w:pPr>
      <w:r>
        <w:rPr>
          <w:color w:val="231F20"/>
          <w:sz w:val="24"/>
        </w:rPr>
        <w:t>If done at the same time, vaccinations should be done in a different area than the chip</w:t>
      </w:r>
      <w:r>
        <w:rPr>
          <w:color w:val="231F20"/>
          <w:spacing w:val="-37"/>
          <w:sz w:val="24"/>
        </w:rPr>
        <w:t> </w:t>
      </w:r>
      <w:r>
        <w:rPr>
          <w:color w:val="231F20"/>
          <w:sz w:val="24"/>
        </w:rPr>
        <w:t>implantation</w:t>
      </w:r>
    </w:p>
    <w:p>
      <w:pPr>
        <w:pStyle w:val="ListParagraph"/>
        <w:numPr>
          <w:ilvl w:val="1"/>
          <w:numId w:val="2"/>
        </w:numPr>
        <w:tabs>
          <w:tab w:pos="962" w:val="left" w:leader="none"/>
        </w:tabs>
        <w:spacing w:line="240" w:lineRule="auto" w:before="122" w:after="0"/>
        <w:ind w:left="961" w:right="0" w:hanging="123"/>
        <w:jc w:val="left"/>
        <w:rPr>
          <w:sz w:val="20"/>
        </w:rPr>
      </w:pPr>
      <w:r>
        <w:rPr>
          <w:color w:val="231F20"/>
          <w:sz w:val="20"/>
        </w:rPr>
        <w:t>Maintains ability to quantify any bodily reactions, to a likely cause (it’s unlikely to be the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microchip)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92" w:after="0"/>
        <w:ind w:left="269" w:right="0" w:hanging="151"/>
        <w:jc w:val="left"/>
        <w:rPr>
          <w:sz w:val="24"/>
        </w:rPr>
      </w:pPr>
      <w:r>
        <w:rPr>
          <w:color w:val="231F20"/>
          <w:sz w:val="24"/>
        </w:rPr>
        <w:t>Keep the pet as quiet / calm as possible for approximately 24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hours</w:t>
      </w:r>
    </w:p>
    <w:p>
      <w:pPr>
        <w:pStyle w:val="ListParagraph"/>
        <w:numPr>
          <w:ilvl w:val="1"/>
          <w:numId w:val="2"/>
        </w:numPr>
        <w:tabs>
          <w:tab w:pos="962" w:val="left" w:leader="none"/>
        </w:tabs>
        <w:spacing w:line="240" w:lineRule="auto" w:before="122" w:after="0"/>
        <w:ind w:left="961" w:right="0" w:hanging="123"/>
        <w:jc w:val="left"/>
        <w:rPr>
          <w:sz w:val="20"/>
        </w:rPr>
      </w:pPr>
      <w:r>
        <w:rPr>
          <w:color w:val="231F20"/>
          <w:sz w:val="20"/>
        </w:rPr>
        <w:t>Helps prevent any chip migration, which can happen with any implanted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microchip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93" w:after="0"/>
        <w:ind w:left="269" w:right="0" w:hanging="151"/>
        <w:jc w:val="left"/>
        <w:rPr>
          <w:sz w:val="24"/>
        </w:rPr>
      </w:pPr>
      <w:r>
        <w:rPr>
          <w:color w:val="231F20"/>
          <w:sz w:val="24"/>
        </w:rPr>
        <w:t>Keep implant site clean 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dry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84" w:after="0"/>
        <w:ind w:left="269" w:right="0" w:hanging="151"/>
        <w:jc w:val="left"/>
        <w:rPr>
          <w:sz w:val="24"/>
        </w:rPr>
      </w:pPr>
      <w:r>
        <w:rPr>
          <w:color w:val="231F20"/>
          <w:sz w:val="24"/>
        </w:rPr>
        <w:t>No topicals for one week after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implantation</w:t>
      </w:r>
    </w:p>
    <w:p>
      <w:pPr>
        <w:pStyle w:val="BodyText"/>
        <w:spacing w:before="10"/>
        <w:ind w:left="0" w:firstLine="0"/>
        <w:rPr>
          <w:sz w:val="31"/>
        </w:rPr>
      </w:pPr>
    </w:p>
    <w:p>
      <w:pPr>
        <w:pStyle w:val="Heading1"/>
      </w:pPr>
      <w:r>
        <w:rPr>
          <w:color w:val="231F20"/>
        </w:rPr>
        <w:t>Tips for Scanning: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312" w:lineRule="auto" w:before="28" w:after="0"/>
        <w:ind w:left="119" w:right="750" w:firstLine="0"/>
        <w:jc w:val="left"/>
        <w:rPr>
          <w:sz w:val="24"/>
        </w:rPr>
      </w:pPr>
      <w:r>
        <w:rPr>
          <w:color w:val="231F20"/>
          <w:sz w:val="24"/>
        </w:rPr>
        <w:t>Metal can interfere with the microchip signals - try to scan away from metal exam tables, metal doors, metal desks (collar tags and leashes are not 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problem)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2" w:after="0"/>
        <w:ind w:left="269" w:right="0" w:hanging="151"/>
        <w:jc w:val="left"/>
        <w:rPr>
          <w:sz w:val="24"/>
        </w:rPr>
      </w:pPr>
      <w:r>
        <w:rPr>
          <w:color w:val="231F20"/>
          <w:sz w:val="24"/>
        </w:rPr>
        <w:t>Scanning through metal or metal mesh cages will most likely interfere with 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reading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84" w:after="0"/>
        <w:ind w:left="265" w:right="0" w:hanging="147"/>
        <w:jc w:val="left"/>
        <w:rPr>
          <w:sz w:val="24"/>
        </w:rPr>
      </w:pPr>
      <w:r>
        <w:rPr>
          <w:color w:val="231F20"/>
          <w:sz w:val="24"/>
        </w:rPr>
        <w:t>The larger the antenna on the scanner, the easier it will be to scan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microchips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84" w:after="0"/>
        <w:ind w:left="265" w:right="0" w:hanging="147"/>
        <w:jc w:val="left"/>
        <w:rPr>
          <w:sz w:val="24"/>
        </w:rPr>
      </w:pPr>
      <w:r>
        <w:rPr>
          <w:color w:val="231F20"/>
          <w:spacing w:val="-3"/>
          <w:sz w:val="24"/>
        </w:rPr>
        <w:t>Try </w:t>
      </w:r>
      <w:r>
        <w:rPr>
          <w:color w:val="231F20"/>
          <w:sz w:val="24"/>
        </w:rPr>
        <w:t>with more than one scanner (when possible) before giving up on finding the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microchip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40" w:bottom="280" w:left="600" w:right="600"/>
        </w:sectPr>
      </w:pPr>
    </w:p>
    <w:p>
      <w:pPr>
        <w:pStyle w:val="BodyText"/>
        <w:spacing w:before="6"/>
        <w:ind w:left="0" w:firstLine="0"/>
        <w:rPr>
          <w:sz w:val="21"/>
        </w:rPr>
      </w:pPr>
    </w:p>
    <w:p>
      <w:pPr>
        <w:spacing w:before="0"/>
        <w:ind w:left="191" w:right="0" w:firstLine="0"/>
        <w:jc w:val="left"/>
        <w:rPr>
          <w:i/>
          <w:sz w:val="16"/>
        </w:rPr>
      </w:pPr>
      <w:r>
        <w:rPr>
          <w:i/>
          <w:color w:val="636466"/>
          <w:sz w:val="16"/>
        </w:rPr>
        <w:t>Questions?</w:t>
      </w:r>
    </w:p>
    <w:p>
      <w:pPr>
        <w:spacing w:line="249" w:lineRule="auto" w:before="8"/>
        <w:ind w:left="191" w:right="19" w:firstLine="0"/>
        <w:jc w:val="left"/>
        <w:rPr>
          <w:sz w:val="16"/>
        </w:rPr>
      </w:pPr>
      <w:r>
        <w:rPr>
          <w:color w:val="636466"/>
          <w:sz w:val="16"/>
        </w:rPr>
        <w:t>Email us at</w:t>
      </w:r>
      <w:hyperlink r:id="rId6">
        <w:r>
          <w:rPr>
            <w:color w:val="636466"/>
            <w:sz w:val="16"/>
          </w:rPr>
          <w:t> petlink@petlink.net</w:t>
        </w:r>
      </w:hyperlink>
      <w:r>
        <w:rPr>
          <w:color w:val="636466"/>
          <w:sz w:val="16"/>
        </w:rPr>
        <w:t> or </w:t>
      </w:r>
      <w:hyperlink r:id="rId7">
        <w:r>
          <w:rPr>
            <w:color w:val="636466"/>
            <w:sz w:val="16"/>
          </w:rPr>
          <w:t>ussales@petlink.net</w:t>
        </w:r>
      </w:hyperlink>
    </w:p>
    <w:p>
      <w:pPr>
        <w:pStyle w:val="BodyText"/>
        <w:spacing w:before="6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91" w:right="0" w:firstLine="0"/>
        <w:jc w:val="left"/>
        <w:rPr>
          <w:i/>
          <w:sz w:val="16"/>
        </w:rPr>
      </w:pPr>
      <w:r>
        <w:rPr>
          <w:i/>
          <w:color w:val="636466"/>
          <w:sz w:val="16"/>
        </w:rPr>
        <w:t>More information:</w:t>
      </w:r>
    </w:p>
    <w:p>
      <w:pPr>
        <w:spacing w:before="8"/>
        <w:ind w:left="191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5227102</wp:posOffset>
            </wp:positionH>
            <wp:positionV relativeFrom="paragraph">
              <wp:posOffset>-88588</wp:posOffset>
            </wp:positionV>
            <wp:extent cx="2100507" cy="512064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0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sz w:val="16"/>
        </w:rPr>
        <w:t>Visit</w:t>
      </w:r>
      <w:hyperlink r:id="rId8">
        <w:r>
          <w:rPr>
            <w:color w:val="636466"/>
            <w:sz w:val="16"/>
          </w:rPr>
          <w:t> www.petlink.net</w:t>
        </w:r>
      </w:hyperlink>
    </w:p>
    <w:p>
      <w:pPr>
        <w:spacing w:before="8"/>
        <w:ind w:left="191" w:right="0" w:firstLine="0"/>
        <w:jc w:val="left"/>
        <w:rPr>
          <w:sz w:val="16"/>
        </w:rPr>
      </w:pPr>
      <w:r>
        <w:rPr>
          <w:color w:val="636466"/>
          <w:sz w:val="16"/>
        </w:rPr>
        <w:t>or</w:t>
      </w:r>
      <w:hyperlink r:id="rId9">
        <w:r>
          <w:rPr>
            <w:color w:val="636466"/>
            <w:sz w:val="16"/>
          </w:rPr>
          <w:t> www.pet.datamars.com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40" w:bottom="280" w:left="600" w:right="600"/>
          <w:cols w:num="2" w:equalWidth="0">
            <w:col w:w="2421" w:space="582"/>
            <w:col w:w="8037"/>
          </w:cols>
        </w:sectPr>
      </w:pPr>
    </w:p>
    <w:p>
      <w:pPr>
        <w:pStyle w:val="BodyText"/>
        <w:spacing w:before="4"/>
        <w:ind w:left="0" w:firstLine="0"/>
        <w:rPr>
          <w:sz w:val="6"/>
        </w:rPr>
      </w:pPr>
      <w:r>
        <w:rPr/>
        <w:pict>
          <v:line style="position:absolute;mso-position-horizontal-relative:page;mso-position-vertical-relative:page;z-index:251658240" from=".3636pt,113.019997pt" to="612pt,113.019997pt" stroked="true" strokeweight="1pt" strokecolor="#ef413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.3636pt,429.380005pt" to="612pt,429.380005pt" stroked="true" strokeweight="1pt" strokecolor="#ef413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43232" from=".3636pt,573.619995pt" to="612pt,573.619995pt" stroked="true" strokeweight="1pt" strokecolor="#ef4135">
            <v:stroke dashstyle="solid"/>
            <w10:wrap type="none"/>
          </v:line>
        </w:pict>
      </w:r>
    </w:p>
    <w:p>
      <w:pPr>
        <w:pStyle w:val="BodyText"/>
        <w:spacing w:line="195" w:lineRule="exact" w:before="0"/>
        <w:ind w:left="191" w:firstLine="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966015" cy="124015"/>
            <wp:effectExtent l="0" t="0" r="0" b="0"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015" cy="12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sectPr>
      <w:type w:val="continuous"/>
      <w:pgSz w:w="12240" w:h="15840"/>
      <w:pgMar w:top="5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19" w:hanging="151"/>
      </w:pPr>
      <w:rPr>
        <w:rFonts w:hint="default" w:ascii="Arial" w:hAnsi="Arial" w:eastAsia="Arial" w:cs="Arial"/>
        <w:color w:val="231F20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-"/>
      <w:lvlJc w:val="left"/>
      <w:pPr>
        <w:ind w:left="961" w:hanging="123"/>
      </w:pPr>
      <w:rPr>
        <w:rFonts w:hint="default" w:ascii="Arial" w:hAnsi="Arial" w:eastAsia="Arial" w:cs="Arial"/>
        <w:color w:val="231F20"/>
        <w:spacing w:val="-4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80" w:hanging="12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00" w:hanging="12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20" w:hanging="12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40" w:hanging="12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0" w:hanging="12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80" w:hanging="12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0" w:hanging="12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 w:cs="Arial"/>
        <w:color w:val="231F20"/>
        <w:spacing w:val="-1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84"/>
      <w:ind w:left="480" w:hanging="360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84"/>
      <w:ind w:left="48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etlink@petlink.net" TargetMode="External"/><Relationship Id="rId7" Type="http://schemas.openxmlformats.org/officeDocument/2006/relationships/hyperlink" Target="mailto:ussales@petlink.net" TargetMode="External"/><Relationship Id="rId8" Type="http://schemas.openxmlformats.org/officeDocument/2006/relationships/hyperlink" Target="http://www.petlink.net/" TargetMode="External"/><Relationship Id="rId9" Type="http://schemas.openxmlformats.org/officeDocument/2006/relationships/hyperlink" Target="http://www.pet.datamars.com/" TargetMode="External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2020-04-10T15:00:39Z</dcterms:created>
  <dcterms:modified xsi:type="dcterms:W3CDTF">2020-04-10T15:00:39Z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2020-04-10T00:00:00Z</vt:filetime>
  </property>
</Properties>
</file>